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103B" w14:textId="5681676B" w:rsidR="00211257" w:rsidRDefault="00211257" w:rsidP="006F612E">
      <w:pPr>
        <w:jc w:val="center"/>
        <w:rPr>
          <w:rFonts w:ascii="Times New Roman" w:hAnsi="Times New Roman" w:cs="Times New Roman"/>
          <w:b/>
          <w:bCs/>
          <w:sz w:val="36"/>
          <w:szCs w:val="36"/>
        </w:rPr>
      </w:pPr>
      <w:r>
        <w:rPr>
          <w:noProof/>
        </w:rPr>
        <w:drawing>
          <wp:anchor distT="0" distB="0" distL="114300" distR="114300" simplePos="0" relativeHeight="251658240" behindDoc="1" locked="0" layoutInCell="1" allowOverlap="1" wp14:anchorId="04876E1C" wp14:editId="6EB221D1">
            <wp:simplePos x="0" y="0"/>
            <wp:positionH relativeFrom="margin">
              <wp:align>center</wp:align>
            </wp:positionH>
            <wp:positionV relativeFrom="paragraph">
              <wp:posOffset>-730250</wp:posOffset>
            </wp:positionV>
            <wp:extent cx="3155950" cy="1494693"/>
            <wp:effectExtent l="0" t="0" r="0" b="0"/>
            <wp:wrapNone/>
            <wp:docPr id="774424337" name="Picture 77442433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24337" name="Picture 1" descr="A picture containing ch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5950" cy="14946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98F72" w14:textId="59EE673E" w:rsidR="006F612E" w:rsidRPr="00823579" w:rsidRDefault="00F2456E" w:rsidP="00823579">
      <w:pPr>
        <w:jc w:val="center"/>
        <w:rPr>
          <w:rFonts w:ascii="Times New Roman" w:hAnsi="Times New Roman" w:cs="Times New Roman"/>
          <w:sz w:val="36"/>
          <w:szCs w:val="36"/>
        </w:rPr>
      </w:pPr>
      <w:r>
        <w:rPr>
          <w:rFonts w:ascii="Times New Roman" w:hAnsi="Times New Roman" w:cs="Times New Roman"/>
          <w:b/>
          <w:bCs/>
          <w:sz w:val="36"/>
          <w:szCs w:val="36"/>
        </w:rPr>
        <w:t>Heirs’ Property Relending Program Progress Act One Pager</w:t>
      </w:r>
    </w:p>
    <w:p w14:paraId="1836246C" w14:textId="677E666C" w:rsidR="006F612E" w:rsidRPr="006F612E" w:rsidRDefault="00875D8F" w:rsidP="006F612E">
      <w:pPr>
        <w:jc w:val="center"/>
        <w:rPr>
          <w:rFonts w:ascii="Times New Roman" w:hAnsi="Times New Roman" w:cs="Times New Roman"/>
          <w:i/>
          <w:iCs/>
          <w:sz w:val="28"/>
          <w:szCs w:val="28"/>
        </w:rPr>
      </w:pPr>
      <w:r>
        <w:rPr>
          <w:rFonts w:ascii="Times New Roman" w:hAnsi="Times New Roman" w:cs="Times New Roman"/>
          <w:i/>
          <w:iCs/>
          <w:sz w:val="28"/>
          <w:szCs w:val="28"/>
        </w:rPr>
        <w:t xml:space="preserve">Endorsements: </w:t>
      </w:r>
      <w:r w:rsidR="000C0DDA">
        <w:rPr>
          <w:rFonts w:ascii="Times New Roman" w:hAnsi="Times New Roman" w:cs="Times New Roman"/>
          <w:i/>
          <w:iCs/>
          <w:sz w:val="28"/>
          <w:szCs w:val="28"/>
        </w:rPr>
        <w:t>Rural Coalition, Land Loss Prevention Project, Federation of Southern Cooperatives</w:t>
      </w:r>
    </w:p>
    <w:p w14:paraId="3C920CBF" w14:textId="6651BFDD" w:rsidR="006F612E" w:rsidRPr="006F612E" w:rsidRDefault="006F612E" w:rsidP="006F612E">
      <w:pPr>
        <w:rPr>
          <w:rFonts w:ascii="Times New Roman" w:hAnsi="Times New Roman" w:cs="Times New Roman"/>
          <w:sz w:val="28"/>
          <w:szCs w:val="28"/>
          <w:u w:val="single"/>
        </w:rPr>
      </w:pPr>
      <w:r w:rsidRPr="006F612E">
        <w:rPr>
          <w:rFonts w:ascii="Times New Roman" w:hAnsi="Times New Roman" w:cs="Times New Roman"/>
          <w:b/>
          <w:bCs/>
          <w:sz w:val="28"/>
          <w:szCs w:val="28"/>
          <w:u w:val="single"/>
        </w:rPr>
        <w:t>BACKGROUND</w:t>
      </w:r>
    </w:p>
    <w:p w14:paraId="7A7EC36E" w14:textId="6D26C0ED" w:rsidR="00185E68" w:rsidRPr="00185E68" w:rsidRDefault="00823579" w:rsidP="00185E68">
      <w:pPr>
        <w:pStyle w:val="paragraph"/>
        <w:spacing w:before="0" w:beforeAutospacing="0" w:after="0" w:afterAutospacing="0"/>
        <w:textAlignment w:val="baseline"/>
        <w:rPr>
          <w:rFonts w:ascii="Segoe UI" w:hAnsi="Segoe UI" w:cs="Segoe UI"/>
          <w:sz w:val="22"/>
          <w:szCs w:val="22"/>
        </w:rPr>
      </w:pPr>
      <w:r w:rsidRPr="00185E68">
        <w:rPr>
          <w:rStyle w:val="normaltextrun"/>
          <w:color w:val="000000"/>
          <w:sz w:val="22"/>
          <w:szCs w:val="22"/>
        </w:rPr>
        <w:t xml:space="preserve">Heirs’ property is created when a landowner dies without a will or estate planning strategy delegating the transfer of land ownership. The 2018 Farm Bill authorized the creation of the Heirs’ Property Relending Program (HPRP) to mitigate the legal complications caused for producers by heirs’ property. HPRP provides loan funds to intermediaries who will re-lend funds to individuals or entities with undivided ownership interests to resolve ownership and succession issues relating to heirs’ property. In short, the goal of this relending program is to provide producers access to capital to mitigate heirs’ property issues. </w:t>
      </w:r>
      <w:r w:rsidR="00653CCB">
        <w:rPr>
          <w:rStyle w:val="normaltextrun"/>
          <w:color w:val="000000"/>
          <w:sz w:val="22"/>
          <w:szCs w:val="22"/>
        </w:rPr>
        <w:t xml:space="preserve">USDA’s </w:t>
      </w:r>
      <w:r w:rsidRPr="00185E68">
        <w:rPr>
          <w:rStyle w:val="normaltextrun"/>
          <w:color w:val="000000"/>
          <w:sz w:val="22"/>
          <w:szCs w:val="22"/>
        </w:rPr>
        <w:t>Farm Service Agency (FSA) has determined that HPRP loan funds can be used</w:t>
      </w:r>
      <w:r w:rsidR="000204E0">
        <w:rPr>
          <w:rStyle w:val="normaltextrun"/>
          <w:color w:val="000000"/>
          <w:sz w:val="22"/>
          <w:szCs w:val="22"/>
        </w:rPr>
        <w:t>:</w:t>
      </w:r>
      <w:r w:rsidRPr="00185E68">
        <w:rPr>
          <w:rStyle w:val="eop"/>
          <w:color w:val="000000"/>
          <w:sz w:val="22"/>
          <w:szCs w:val="22"/>
        </w:rPr>
        <w:t> </w:t>
      </w:r>
    </w:p>
    <w:p w14:paraId="73A025D7" w14:textId="77777777" w:rsidR="00185E68" w:rsidRPr="00185E68" w:rsidRDefault="00823579" w:rsidP="00185E68">
      <w:pPr>
        <w:pStyle w:val="paragraph"/>
        <w:numPr>
          <w:ilvl w:val="0"/>
          <w:numId w:val="1"/>
        </w:numPr>
        <w:spacing w:before="0" w:beforeAutospacing="0" w:after="0" w:afterAutospacing="0"/>
        <w:textAlignment w:val="baseline"/>
        <w:rPr>
          <w:rFonts w:ascii="Segoe UI" w:hAnsi="Segoe UI" w:cs="Segoe UI"/>
          <w:sz w:val="22"/>
          <w:szCs w:val="22"/>
        </w:rPr>
      </w:pPr>
      <w:r w:rsidRPr="00185E68">
        <w:rPr>
          <w:rStyle w:val="normaltextrun"/>
          <w:color w:val="000000"/>
          <w:sz w:val="22"/>
          <w:szCs w:val="22"/>
        </w:rPr>
        <w:t>To buy out fractional interests held in tenancy in common by other heirs in jointly owned property</w:t>
      </w:r>
      <w:r w:rsidRPr="00185E68">
        <w:rPr>
          <w:rStyle w:val="eop"/>
          <w:color w:val="000000"/>
          <w:sz w:val="22"/>
          <w:szCs w:val="22"/>
        </w:rPr>
        <w:t> </w:t>
      </w:r>
    </w:p>
    <w:p w14:paraId="45BF3FD2" w14:textId="0C1A9A5A" w:rsidR="00823579" w:rsidRPr="00185E68" w:rsidRDefault="00823579" w:rsidP="00185E68">
      <w:pPr>
        <w:pStyle w:val="paragraph"/>
        <w:numPr>
          <w:ilvl w:val="0"/>
          <w:numId w:val="1"/>
        </w:numPr>
        <w:spacing w:before="0" w:beforeAutospacing="0" w:after="0" w:afterAutospacing="0"/>
        <w:textAlignment w:val="baseline"/>
        <w:rPr>
          <w:rFonts w:ascii="Segoe UI" w:hAnsi="Segoe UI" w:cs="Segoe UI"/>
          <w:sz w:val="22"/>
          <w:szCs w:val="22"/>
        </w:rPr>
      </w:pPr>
      <w:r w:rsidRPr="00185E68">
        <w:rPr>
          <w:rStyle w:val="normaltextrun"/>
          <w:color w:val="000000"/>
          <w:sz w:val="22"/>
          <w:szCs w:val="22"/>
        </w:rPr>
        <w:t>To pay for costs associated with developing and implementing a succession plan (such as closing costs, appraisals, title searches, surveys, preparing documents, mediation, and legal services)</w:t>
      </w:r>
      <w:r w:rsidRPr="00185E68">
        <w:rPr>
          <w:rStyle w:val="eop"/>
          <w:color w:val="000000"/>
          <w:sz w:val="22"/>
          <w:szCs w:val="22"/>
        </w:rPr>
        <w:t> </w:t>
      </w:r>
    </w:p>
    <w:p w14:paraId="71CC23DF" w14:textId="77777777" w:rsidR="001F5B2A" w:rsidRDefault="001F5B2A" w:rsidP="00823579">
      <w:pPr>
        <w:pStyle w:val="paragraph"/>
        <w:shd w:val="clear" w:color="auto" w:fill="FFFFFF"/>
        <w:spacing w:before="0" w:beforeAutospacing="0" w:after="0" w:afterAutospacing="0"/>
        <w:textAlignment w:val="baseline"/>
        <w:rPr>
          <w:rStyle w:val="normaltextrun"/>
          <w:color w:val="000000"/>
          <w:sz w:val="22"/>
          <w:szCs w:val="22"/>
        </w:rPr>
      </w:pPr>
    </w:p>
    <w:p w14:paraId="55003BA5" w14:textId="2E9052FB" w:rsidR="00823579" w:rsidRPr="00185E68" w:rsidRDefault="00823579" w:rsidP="00823579">
      <w:pPr>
        <w:pStyle w:val="paragraph"/>
        <w:shd w:val="clear" w:color="auto" w:fill="FFFFFF"/>
        <w:spacing w:before="0" w:beforeAutospacing="0" w:after="0" w:afterAutospacing="0"/>
        <w:textAlignment w:val="baseline"/>
        <w:rPr>
          <w:rFonts w:ascii="Segoe UI" w:hAnsi="Segoe UI" w:cs="Segoe UI"/>
          <w:sz w:val="22"/>
          <w:szCs w:val="22"/>
        </w:rPr>
      </w:pPr>
      <w:r w:rsidRPr="00185E68">
        <w:rPr>
          <w:rStyle w:val="normaltextrun"/>
          <w:color w:val="000000"/>
          <w:sz w:val="22"/>
          <w:szCs w:val="22"/>
        </w:rPr>
        <w:t>HPRP loans cannot be used for the purpose of land development, acquisition of personal property, repair of buildings, payment of operating costs, payment of finders’ fees, etc. As soon as</w:t>
      </w:r>
      <w:r w:rsidR="000204E0">
        <w:rPr>
          <w:rStyle w:val="normaltextrun"/>
          <w:color w:val="000000"/>
          <w:sz w:val="22"/>
          <w:szCs w:val="22"/>
        </w:rPr>
        <w:t xml:space="preserve"> FSA selects</w:t>
      </w:r>
      <w:r w:rsidRPr="00185E68">
        <w:rPr>
          <w:rStyle w:val="normaltextrun"/>
          <w:color w:val="000000"/>
          <w:sz w:val="22"/>
          <w:szCs w:val="22"/>
        </w:rPr>
        <w:t xml:space="preserve"> lenders, heirs are able to apply directly to those lenders for loans and assistance. Heirs may use the loans to resolve title issues by financing the purchase or consolidation of property interests and financing costs associate with a succession plan.</w:t>
      </w:r>
    </w:p>
    <w:p w14:paraId="18C94D71" w14:textId="77777777" w:rsidR="006F612E" w:rsidRDefault="006F612E" w:rsidP="006F612E">
      <w:pPr>
        <w:rPr>
          <w:rFonts w:ascii="Times New Roman" w:hAnsi="Times New Roman" w:cs="Times New Roman"/>
          <w:sz w:val="24"/>
          <w:szCs w:val="24"/>
        </w:rPr>
      </w:pPr>
    </w:p>
    <w:p w14:paraId="370CB2BB" w14:textId="558A05A3" w:rsidR="006F612E" w:rsidRPr="006F612E" w:rsidRDefault="00C67743" w:rsidP="006F612E">
      <w:pPr>
        <w:rPr>
          <w:rFonts w:ascii="Times New Roman" w:hAnsi="Times New Roman" w:cs="Times New Roman"/>
          <w:sz w:val="28"/>
          <w:szCs w:val="28"/>
          <w:u w:val="single"/>
        </w:rPr>
      </w:pPr>
      <w:r>
        <w:rPr>
          <w:rFonts w:ascii="Times New Roman" w:hAnsi="Times New Roman" w:cs="Times New Roman"/>
          <w:b/>
          <w:bCs/>
          <w:sz w:val="28"/>
          <w:szCs w:val="28"/>
          <w:u w:val="single"/>
        </w:rPr>
        <w:t>CRITICAL ISSUES</w:t>
      </w:r>
    </w:p>
    <w:p w14:paraId="360C2876" w14:textId="383D8237" w:rsidR="00041738" w:rsidRPr="00F03627" w:rsidRDefault="00041738" w:rsidP="00041738">
      <w:pPr>
        <w:pStyle w:val="paragraph"/>
        <w:spacing w:before="0" w:beforeAutospacing="0" w:after="0" w:afterAutospacing="0"/>
        <w:textAlignment w:val="baseline"/>
        <w:rPr>
          <w:rFonts w:ascii="Segoe UI" w:hAnsi="Segoe UI" w:cs="Segoe UI"/>
          <w:sz w:val="22"/>
          <w:szCs w:val="22"/>
        </w:rPr>
      </w:pPr>
      <w:r w:rsidRPr="00041738">
        <w:rPr>
          <w:rStyle w:val="normaltextrun"/>
          <w:b/>
          <w:bCs/>
          <w:color w:val="000000"/>
          <w:sz w:val="28"/>
          <w:szCs w:val="28"/>
          <w:u w:val="single"/>
        </w:rPr>
        <w:t>1.</w:t>
      </w:r>
      <w:r>
        <w:rPr>
          <w:rStyle w:val="normaltextrun"/>
          <w:b/>
          <w:bCs/>
          <w:color w:val="000000"/>
          <w:sz w:val="22"/>
          <w:szCs w:val="22"/>
          <w:u w:val="single"/>
        </w:rPr>
        <w:t xml:space="preserve"> </w:t>
      </w:r>
      <w:r w:rsidR="003E6365">
        <w:rPr>
          <w:rStyle w:val="normaltextrun"/>
          <w:color w:val="000000"/>
          <w:sz w:val="22"/>
          <w:szCs w:val="22"/>
          <w:u w:val="single"/>
        </w:rPr>
        <w:t>PAYMENTS</w:t>
      </w:r>
      <w:r>
        <w:rPr>
          <w:rStyle w:val="normaltextrun"/>
          <w:color w:val="000000"/>
          <w:sz w:val="22"/>
          <w:szCs w:val="22"/>
          <w:u w:val="single"/>
        </w:rPr>
        <w:t>:</w:t>
      </w:r>
      <w:r>
        <w:rPr>
          <w:rStyle w:val="normaltextrun"/>
          <w:color w:val="000000"/>
          <w:sz w:val="22"/>
          <w:szCs w:val="22"/>
        </w:rPr>
        <w:t xml:space="preserve"> </w:t>
      </w:r>
      <w:r w:rsidR="00901582">
        <w:rPr>
          <w:rStyle w:val="normaltextrun"/>
          <w:color w:val="000000"/>
          <w:sz w:val="22"/>
          <w:szCs w:val="22"/>
        </w:rPr>
        <w:t xml:space="preserve">USDA </w:t>
      </w:r>
      <w:r w:rsidR="002C4A5D">
        <w:rPr>
          <w:rStyle w:val="normaltextrun"/>
          <w:color w:val="000000"/>
          <w:sz w:val="22"/>
          <w:szCs w:val="22"/>
        </w:rPr>
        <w:t>explained that the approved three approved CDFIs have received a combined $12 million dollars</w:t>
      </w:r>
      <w:r w:rsidR="0079170B">
        <w:rPr>
          <w:rStyle w:val="normaltextrun"/>
          <w:color w:val="000000"/>
          <w:sz w:val="22"/>
          <w:szCs w:val="22"/>
        </w:rPr>
        <w:t xml:space="preserve">, but are facing difficulty getting the money to producers. This is because </w:t>
      </w:r>
      <w:r w:rsidR="005F314C">
        <w:rPr>
          <w:rStyle w:val="normaltextrun"/>
          <w:color w:val="000000"/>
          <w:sz w:val="22"/>
          <w:szCs w:val="22"/>
        </w:rPr>
        <w:t xml:space="preserve">they cannot use the funds to cover administrative costs, only being allowed to loan them out and recoup costs through collecting interest. </w:t>
      </w:r>
      <w:r w:rsidR="00AA6394">
        <w:rPr>
          <w:rStyle w:val="normaltextrun"/>
          <w:color w:val="000000"/>
          <w:sz w:val="22"/>
          <w:szCs w:val="22"/>
        </w:rPr>
        <w:t xml:space="preserve">The CDFIs receive the funds as a 1% loan from USDA. </w:t>
      </w:r>
      <w:r w:rsidR="00432A56">
        <w:rPr>
          <w:rStyle w:val="normaltextrun"/>
          <w:color w:val="000000"/>
          <w:sz w:val="22"/>
          <w:szCs w:val="22"/>
        </w:rPr>
        <w:t>CDFIs have found that they are unable to pay back the loan and cover administrative costs without charging such high interest rates to the producers that no one would use the program.</w:t>
      </w:r>
      <w:r>
        <w:rPr>
          <w:rStyle w:val="normaltextrun"/>
          <w:color w:val="000000"/>
          <w:sz w:val="22"/>
          <w:szCs w:val="22"/>
        </w:rPr>
        <w:t xml:space="preserve"> </w:t>
      </w:r>
      <w:r>
        <w:rPr>
          <w:rStyle w:val="normaltextrun"/>
          <w:b/>
          <w:bCs/>
          <w:color w:val="000000"/>
          <w:sz w:val="22"/>
          <w:szCs w:val="22"/>
        </w:rPr>
        <w:t xml:space="preserve">As a result, </w:t>
      </w:r>
      <w:r w:rsidR="00901582">
        <w:rPr>
          <w:rStyle w:val="normaltextrun"/>
          <w:b/>
          <w:bCs/>
          <w:color w:val="000000"/>
          <w:sz w:val="22"/>
          <w:szCs w:val="22"/>
        </w:rPr>
        <w:t>not a single dollar has actually been loaned to a producer</w:t>
      </w:r>
      <w:r>
        <w:rPr>
          <w:rStyle w:val="normaltextrun"/>
          <w:b/>
          <w:bCs/>
          <w:color w:val="000000"/>
          <w:sz w:val="22"/>
          <w:szCs w:val="22"/>
        </w:rPr>
        <w:t>.</w:t>
      </w:r>
    </w:p>
    <w:p w14:paraId="51E0BEFF" w14:textId="77777777" w:rsidR="00041738" w:rsidRDefault="00041738" w:rsidP="008B38FA">
      <w:pPr>
        <w:pStyle w:val="paragraph"/>
        <w:spacing w:before="0" w:beforeAutospacing="0" w:after="0" w:afterAutospacing="0"/>
        <w:textAlignment w:val="baseline"/>
        <w:rPr>
          <w:rStyle w:val="normaltextrun"/>
          <w:b/>
          <w:bCs/>
          <w:color w:val="000000"/>
          <w:sz w:val="28"/>
          <w:szCs w:val="28"/>
          <w:u w:val="single"/>
        </w:rPr>
      </w:pPr>
    </w:p>
    <w:p w14:paraId="772DBB0A" w14:textId="6F31353B" w:rsidR="00F03627" w:rsidRPr="00F03627" w:rsidRDefault="00041738" w:rsidP="001F5B2A">
      <w:pPr>
        <w:pStyle w:val="paragraph"/>
        <w:spacing w:before="0" w:beforeAutospacing="0" w:after="0" w:afterAutospacing="0"/>
        <w:textAlignment w:val="baseline"/>
        <w:rPr>
          <w:rFonts w:ascii="Segoe UI" w:hAnsi="Segoe UI" w:cs="Segoe UI"/>
          <w:sz w:val="22"/>
          <w:szCs w:val="22"/>
        </w:rPr>
      </w:pPr>
      <w:r>
        <w:rPr>
          <w:rStyle w:val="normaltextrun"/>
          <w:b/>
          <w:bCs/>
          <w:color w:val="000000"/>
          <w:sz w:val="28"/>
          <w:szCs w:val="28"/>
          <w:u w:val="single"/>
        </w:rPr>
        <w:t>2</w:t>
      </w:r>
      <w:r w:rsidRPr="00041738">
        <w:rPr>
          <w:rStyle w:val="normaltextrun"/>
          <w:b/>
          <w:bCs/>
          <w:color w:val="000000"/>
          <w:sz w:val="28"/>
          <w:szCs w:val="28"/>
          <w:u w:val="single"/>
        </w:rPr>
        <w:t>.</w:t>
      </w:r>
      <w:r>
        <w:rPr>
          <w:rStyle w:val="normaltextrun"/>
          <w:b/>
          <w:bCs/>
          <w:color w:val="000000"/>
          <w:sz w:val="22"/>
          <w:szCs w:val="22"/>
          <w:u w:val="single"/>
        </w:rPr>
        <w:t xml:space="preserve"> </w:t>
      </w:r>
      <w:r w:rsidR="00946F4F">
        <w:rPr>
          <w:rStyle w:val="normaltextrun"/>
          <w:color w:val="000000"/>
          <w:sz w:val="22"/>
          <w:szCs w:val="22"/>
          <w:u w:val="single"/>
        </w:rPr>
        <w:t>INSUFFICIENT COVERAGE:</w:t>
      </w:r>
      <w:r w:rsidR="00946F4F">
        <w:rPr>
          <w:rStyle w:val="normaltextrun"/>
          <w:color w:val="000000"/>
          <w:sz w:val="22"/>
          <w:szCs w:val="22"/>
        </w:rPr>
        <w:t xml:space="preserve"> </w:t>
      </w:r>
      <w:r w:rsidR="00F03627" w:rsidRPr="00F03627">
        <w:rPr>
          <w:rStyle w:val="normaltextrun"/>
          <w:color w:val="000000"/>
          <w:sz w:val="22"/>
          <w:szCs w:val="22"/>
        </w:rPr>
        <w:t xml:space="preserve">USDA announced that </w:t>
      </w:r>
      <w:proofErr w:type="spellStart"/>
      <w:r w:rsidR="00F03627" w:rsidRPr="00F03627">
        <w:rPr>
          <w:rStyle w:val="normaltextrun"/>
          <w:color w:val="000000"/>
          <w:sz w:val="22"/>
          <w:szCs w:val="22"/>
        </w:rPr>
        <w:t>Akiptan</w:t>
      </w:r>
      <w:proofErr w:type="spellEnd"/>
      <w:r w:rsidR="00F03627" w:rsidRPr="00F03627">
        <w:rPr>
          <w:rStyle w:val="normaltextrun"/>
          <w:color w:val="000000"/>
          <w:sz w:val="22"/>
          <w:szCs w:val="22"/>
        </w:rPr>
        <w:t xml:space="preserve"> Inc., the Cherokee Nation Economic Development Trust Authority (CNEDTA), and the Shared Capital Cooperative have been approved or conditionally approved as Community Development Financial Institutions (CDFIs) which can act as intermediary lenders through HPRP. However, the stipulations associated with these CDFI’s are numerous. </w:t>
      </w:r>
      <w:proofErr w:type="spellStart"/>
      <w:r w:rsidR="00F03627" w:rsidRPr="00F03627">
        <w:rPr>
          <w:rStyle w:val="normaltextrun"/>
          <w:color w:val="000000"/>
          <w:sz w:val="22"/>
          <w:szCs w:val="22"/>
        </w:rPr>
        <w:t>Akiptan</w:t>
      </w:r>
      <w:proofErr w:type="spellEnd"/>
      <w:r w:rsidR="00F03627" w:rsidRPr="00F03627">
        <w:rPr>
          <w:rStyle w:val="normaltextrun"/>
          <w:color w:val="000000"/>
          <w:sz w:val="22"/>
          <w:szCs w:val="22"/>
        </w:rPr>
        <w:t xml:space="preserve"> Inc. requires that loans and technical assistance go towards those engaged in Native agriculture, CNEDTA targets producers in rural areas within the Cherokee Nation Reservation, and Shared Capital Cooperative only covers producers in the states of Alabama, Florida, Georgia, Louisiana, Mississippi, and South Carolina only</w:t>
      </w:r>
      <w:r w:rsidR="00B67465">
        <w:rPr>
          <w:rStyle w:val="normaltextrun"/>
          <w:color w:val="000000"/>
          <w:sz w:val="22"/>
          <w:szCs w:val="22"/>
        </w:rPr>
        <w:t>.</w:t>
      </w:r>
      <w:r w:rsidR="00A15B99">
        <w:rPr>
          <w:rStyle w:val="normaltextrun"/>
          <w:color w:val="000000"/>
          <w:sz w:val="22"/>
          <w:szCs w:val="22"/>
        </w:rPr>
        <w:t xml:space="preserve"> These CDFIs were approved in 2022, and USDA confirmed there are no additional applications in the pipeline.</w:t>
      </w:r>
      <w:r w:rsidR="00B67465">
        <w:rPr>
          <w:rStyle w:val="normaltextrun"/>
          <w:color w:val="000000"/>
          <w:sz w:val="22"/>
          <w:szCs w:val="22"/>
        </w:rPr>
        <w:t xml:space="preserve"> </w:t>
      </w:r>
      <w:r w:rsidR="00B67465">
        <w:rPr>
          <w:rStyle w:val="normaltextrun"/>
          <w:b/>
          <w:bCs/>
          <w:color w:val="000000"/>
          <w:sz w:val="22"/>
          <w:szCs w:val="22"/>
        </w:rPr>
        <w:t>As a result, the majority of black producers are not eligible</w:t>
      </w:r>
      <w:r w:rsidR="008E0838">
        <w:rPr>
          <w:rStyle w:val="normaltextrun"/>
          <w:b/>
          <w:bCs/>
          <w:color w:val="000000"/>
          <w:sz w:val="22"/>
          <w:szCs w:val="22"/>
        </w:rPr>
        <w:t xml:space="preserve"> to apply for HPRP funds</w:t>
      </w:r>
      <w:r w:rsidR="00B67465">
        <w:rPr>
          <w:rStyle w:val="normaltextrun"/>
          <w:b/>
          <w:bCs/>
          <w:color w:val="000000"/>
          <w:sz w:val="22"/>
          <w:szCs w:val="22"/>
        </w:rPr>
        <w:t>.</w:t>
      </w:r>
    </w:p>
    <w:p w14:paraId="7C3D4924" w14:textId="77777777" w:rsidR="006F612E" w:rsidRPr="006F612E" w:rsidRDefault="006F612E" w:rsidP="006F612E">
      <w:pPr>
        <w:rPr>
          <w:rFonts w:ascii="Times New Roman" w:hAnsi="Times New Roman" w:cs="Times New Roman"/>
          <w:sz w:val="24"/>
          <w:szCs w:val="24"/>
        </w:rPr>
      </w:pPr>
    </w:p>
    <w:p w14:paraId="657E26F1" w14:textId="1A30548A" w:rsidR="00211257" w:rsidRDefault="00211257" w:rsidP="006F612E">
      <w:pPr>
        <w:rPr>
          <w:rFonts w:ascii="Times New Roman" w:hAnsi="Times New Roman" w:cs="Times New Roman"/>
          <w:b/>
          <w:bCs/>
          <w:sz w:val="24"/>
          <w:szCs w:val="24"/>
        </w:rPr>
      </w:pPr>
      <w:r>
        <w:rPr>
          <w:noProof/>
        </w:rPr>
        <w:lastRenderedPageBreak/>
        <w:drawing>
          <wp:anchor distT="0" distB="0" distL="114300" distR="114300" simplePos="0" relativeHeight="251658241" behindDoc="1" locked="0" layoutInCell="1" allowOverlap="1" wp14:anchorId="7AF924D2" wp14:editId="0C95ED02">
            <wp:simplePos x="0" y="0"/>
            <wp:positionH relativeFrom="margin">
              <wp:align>center</wp:align>
            </wp:positionH>
            <wp:positionV relativeFrom="paragraph">
              <wp:posOffset>-668655</wp:posOffset>
            </wp:positionV>
            <wp:extent cx="3155950" cy="1494693"/>
            <wp:effectExtent l="0" t="0" r="0" b="0"/>
            <wp:wrapNone/>
            <wp:docPr id="1931389654" name="Picture 193138965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24337" name="Picture 1" descr="A picture containing ch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5950" cy="14946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295F2" w14:textId="764041FC" w:rsidR="00211257" w:rsidRDefault="00211257" w:rsidP="006F612E">
      <w:pPr>
        <w:rPr>
          <w:rFonts w:ascii="Times New Roman" w:hAnsi="Times New Roman" w:cs="Times New Roman"/>
          <w:b/>
          <w:bCs/>
          <w:sz w:val="24"/>
          <w:szCs w:val="24"/>
        </w:rPr>
      </w:pPr>
    </w:p>
    <w:p w14:paraId="4F6D1694" w14:textId="7D11C4FE" w:rsidR="00F67565" w:rsidRPr="00F03627" w:rsidRDefault="00F67565" w:rsidP="00F67565">
      <w:pPr>
        <w:pStyle w:val="paragraph"/>
        <w:spacing w:before="0" w:beforeAutospacing="0" w:after="0" w:afterAutospacing="0"/>
        <w:textAlignment w:val="baseline"/>
        <w:rPr>
          <w:rFonts w:ascii="Segoe UI" w:hAnsi="Segoe UI" w:cs="Segoe UI"/>
          <w:sz w:val="22"/>
          <w:szCs w:val="22"/>
        </w:rPr>
      </w:pPr>
      <w:r>
        <w:rPr>
          <w:rStyle w:val="normaltextrun"/>
          <w:b/>
          <w:bCs/>
          <w:color w:val="000000"/>
          <w:sz w:val="28"/>
          <w:szCs w:val="28"/>
          <w:u w:val="single"/>
        </w:rPr>
        <w:t>3</w:t>
      </w:r>
      <w:r w:rsidRPr="00041738">
        <w:rPr>
          <w:rStyle w:val="normaltextrun"/>
          <w:b/>
          <w:bCs/>
          <w:color w:val="000000"/>
          <w:sz w:val="28"/>
          <w:szCs w:val="28"/>
          <w:u w:val="single"/>
        </w:rPr>
        <w:t>.</w:t>
      </w:r>
      <w:r>
        <w:rPr>
          <w:rStyle w:val="normaltextrun"/>
          <w:b/>
          <w:bCs/>
          <w:color w:val="000000"/>
          <w:sz w:val="22"/>
          <w:szCs w:val="22"/>
          <w:u w:val="single"/>
        </w:rPr>
        <w:t xml:space="preserve"> </w:t>
      </w:r>
      <w:r>
        <w:rPr>
          <w:rStyle w:val="normaltextrun"/>
          <w:color w:val="000000"/>
          <w:sz w:val="22"/>
          <w:szCs w:val="22"/>
          <w:u w:val="single"/>
        </w:rPr>
        <w:t>FUTURE FUNDS:</w:t>
      </w:r>
      <w:r>
        <w:rPr>
          <w:rStyle w:val="normaltextrun"/>
          <w:color w:val="000000"/>
          <w:sz w:val="22"/>
          <w:szCs w:val="22"/>
        </w:rPr>
        <w:t xml:space="preserve"> </w:t>
      </w:r>
      <w:r w:rsidR="00F73430" w:rsidRPr="00F73430">
        <w:rPr>
          <w:rStyle w:val="normaltextrun"/>
          <w:color w:val="000000"/>
          <w:sz w:val="22"/>
          <w:szCs w:val="22"/>
        </w:rPr>
        <w:t>USDA confirmed that until new funding levels are approved, they have $61 million dollars available to lend to CDFIs. But in the FY25 President's Budget Request, that will be reduced to $7.7 million dollars</w:t>
      </w:r>
      <w:r>
        <w:rPr>
          <w:rStyle w:val="normaltextrun"/>
          <w:color w:val="000000"/>
          <w:sz w:val="22"/>
          <w:szCs w:val="22"/>
        </w:rPr>
        <w:t xml:space="preserve">. </w:t>
      </w:r>
      <w:r>
        <w:rPr>
          <w:rStyle w:val="normaltextrun"/>
          <w:b/>
          <w:bCs/>
          <w:color w:val="000000"/>
          <w:sz w:val="22"/>
          <w:szCs w:val="22"/>
        </w:rPr>
        <w:t>Failing to get this funding out the door has already jeopardized over $50 million dollars, and could result in the complete failure of the program.</w:t>
      </w:r>
    </w:p>
    <w:p w14:paraId="5C8CCDB4" w14:textId="77777777" w:rsidR="00952BB6" w:rsidRDefault="00952BB6" w:rsidP="00952BB6">
      <w:pPr>
        <w:rPr>
          <w:rFonts w:ascii="Times New Roman" w:hAnsi="Times New Roman" w:cs="Times New Roman"/>
          <w:sz w:val="24"/>
          <w:szCs w:val="24"/>
        </w:rPr>
      </w:pPr>
    </w:p>
    <w:p w14:paraId="20BC6329" w14:textId="7DD47E3C" w:rsidR="00952BB6" w:rsidRPr="006F612E" w:rsidRDefault="00952BB6" w:rsidP="00952BB6">
      <w:pPr>
        <w:rPr>
          <w:rFonts w:ascii="Times New Roman" w:hAnsi="Times New Roman" w:cs="Times New Roman"/>
          <w:sz w:val="28"/>
          <w:szCs w:val="28"/>
          <w:u w:val="single"/>
        </w:rPr>
      </w:pPr>
      <w:r>
        <w:rPr>
          <w:rFonts w:ascii="Times New Roman" w:hAnsi="Times New Roman" w:cs="Times New Roman"/>
          <w:b/>
          <w:bCs/>
          <w:sz w:val="28"/>
          <w:szCs w:val="28"/>
          <w:u w:val="single"/>
        </w:rPr>
        <w:t>SOLUTIONS</w:t>
      </w:r>
    </w:p>
    <w:p w14:paraId="696C1F7F" w14:textId="23CBBB80" w:rsidR="0037674A" w:rsidRPr="001E70F9" w:rsidRDefault="006A08A9" w:rsidP="00952BB6">
      <w:pPr>
        <w:pStyle w:val="paragraph"/>
        <w:spacing w:before="0" w:beforeAutospacing="0" w:after="0" w:afterAutospacing="0"/>
        <w:textAlignment w:val="baseline"/>
        <w:rPr>
          <w:color w:val="000000"/>
          <w:sz w:val="22"/>
          <w:szCs w:val="22"/>
        </w:rPr>
      </w:pPr>
      <w:r>
        <w:rPr>
          <w:rStyle w:val="normaltextrun"/>
          <w:color w:val="000000"/>
          <w:sz w:val="22"/>
          <w:szCs w:val="22"/>
        </w:rPr>
        <w:t xml:space="preserve">At USDA’s suggestion, allowing for </w:t>
      </w:r>
      <w:r w:rsidR="00A4300E">
        <w:rPr>
          <w:rStyle w:val="normaltextrun"/>
          <w:color w:val="000000"/>
          <w:sz w:val="22"/>
          <w:szCs w:val="22"/>
        </w:rPr>
        <w:t xml:space="preserve">CDFIs to use some of the funds initially intended as loans to cover administrative costs outright, rather than relying on high interest payments down the line, will </w:t>
      </w:r>
      <w:r w:rsidR="008B459B">
        <w:rPr>
          <w:rStyle w:val="normaltextrun"/>
          <w:color w:val="000000"/>
          <w:sz w:val="22"/>
          <w:szCs w:val="22"/>
        </w:rPr>
        <w:t xml:space="preserve">allow the money to actually get out the door to ultimate borrowers. </w:t>
      </w:r>
      <w:r w:rsidR="004410A4">
        <w:rPr>
          <w:rStyle w:val="normaltextrun"/>
          <w:color w:val="000000"/>
          <w:sz w:val="22"/>
          <w:szCs w:val="22"/>
        </w:rPr>
        <w:t>This also addresses the problem of CDFIs not being interested in applying to be in the program</w:t>
      </w:r>
      <w:r w:rsidR="00913519">
        <w:rPr>
          <w:rStyle w:val="normaltextrun"/>
          <w:color w:val="000000"/>
          <w:sz w:val="22"/>
          <w:szCs w:val="22"/>
        </w:rPr>
        <w:t>. More producers will be covered if more CDFIs join the program</w:t>
      </w:r>
      <w:r w:rsidR="00AD36D2">
        <w:rPr>
          <w:rStyle w:val="normaltextrun"/>
          <w:color w:val="000000"/>
          <w:sz w:val="22"/>
          <w:szCs w:val="22"/>
        </w:rPr>
        <w:t>.</w:t>
      </w:r>
      <w:r w:rsidR="00C66180">
        <w:rPr>
          <w:rStyle w:val="normaltextrun"/>
          <w:color w:val="000000"/>
          <w:sz w:val="22"/>
          <w:szCs w:val="22"/>
        </w:rPr>
        <w:t xml:space="preserve"> Because the amount of the loan is capped at $5 million dollars in current regulation, </w:t>
      </w:r>
      <w:r w:rsidR="00A200AA">
        <w:rPr>
          <w:rStyle w:val="normaltextrun"/>
          <w:color w:val="000000"/>
          <w:sz w:val="22"/>
          <w:szCs w:val="22"/>
        </w:rPr>
        <w:t xml:space="preserve">up to 30% covering administrative costs </w:t>
      </w:r>
      <w:r w:rsidR="0037674A">
        <w:rPr>
          <w:rStyle w:val="normaltextrun"/>
          <w:color w:val="000000"/>
          <w:sz w:val="22"/>
          <w:szCs w:val="22"/>
        </w:rPr>
        <w:t>should alleviate the fundamental issue keeping the program stalled.</w:t>
      </w:r>
      <w:r w:rsidR="001E70F9">
        <w:rPr>
          <w:rStyle w:val="normaltextrun"/>
          <w:color w:val="000000"/>
          <w:sz w:val="22"/>
          <w:szCs w:val="22"/>
        </w:rPr>
        <w:t xml:space="preserve"> </w:t>
      </w:r>
    </w:p>
    <w:sectPr w:rsidR="0037674A" w:rsidRPr="001E70F9" w:rsidSect="00D46445">
      <w:pgSz w:w="12240" w:h="15840"/>
      <w:pgMar w:top="1440" w:right="1440" w:bottom="1440" w:left="144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C1B03"/>
    <w:multiLevelType w:val="multilevel"/>
    <w:tmpl w:val="F4702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A7398"/>
    <w:multiLevelType w:val="multilevel"/>
    <w:tmpl w:val="ACB4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85D59"/>
    <w:multiLevelType w:val="multilevel"/>
    <w:tmpl w:val="D74C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87988">
    <w:abstractNumId w:val="1"/>
  </w:num>
  <w:num w:numId="2" w16cid:durableId="1174342284">
    <w:abstractNumId w:val="2"/>
  </w:num>
  <w:num w:numId="3" w16cid:durableId="68709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2E"/>
    <w:rsid w:val="000204E0"/>
    <w:rsid w:val="00025EB6"/>
    <w:rsid w:val="00041738"/>
    <w:rsid w:val="00083FB4"/>
    <w:rsid w:val="000C0DDA"/>
    <w:rsid w:val="000C65C7"/>
    <w:rsid w:val="001348A6"/>
    <w:rsid w:val="00185E68"/>
    <w:rsid w:val="001E70F9"/>
    <w:rsid w:val="001F5B2A"/>
    <w:rsid w:val="00211257"/>
    <w:rsid w:val="00257B8B"/>
    <w:rsid w:val="002C4A5D"/>
    <w:rsid w:val="002F60B1"/>
    <w:rsid w:val="00344D21"/>
    <w:rsid w:val="0037674A"/>
    <w:rsid w:val="003B1794"/>
    <w:rsid w:val="003E6365"/>
    <w:rsid w:val="00422060"/>
    <w:rsid w:val="00432A56"/>
    <w:rsid w:val="004410A4"/>
    <w:rsid w:val="00472C9E"/>
    <w:rsid w:val="00487C62"/>
    <w:rsid w:val="00491D63"/>
    <w:rsid w:val="004E02F5"/>
    <w:rsid w:val="00510DE9"/>
    <w:rsid w:val="0055645B"/>
    <w:rsid w:val="005F1C51"/>
    <w:rsid w:val="005F314C"/>
    <w:rsid w:val="00630299"/>
    <w:rsid w:val="00653CCB"/>
    <w:rsid w:val="00661263"/>
    <w:rsid w:val="006A08A9"/>
    <w:rsid w:val="006C2824"/>
    <w:rsid w:val="006F612E"/>
    <w:rsid w:val="00783C10"/>
    <w:rsid w:val="0079170B"/>
    <w:rsid w:val="00823579"/>
    <w:rsid w:val="00875D8F"/>
    <w:rsid w:val="00893ED8"/>
    <w:rsid w:val="008A4523"/>
    <w:rsid w:val="008B38FA"/>
    <w:rsid w:val="008B459B"/>
    <w:rsid w:val="008B7668"/>
    <w:rsid w:val="008D1B55"/>
    <w:rsid w:val="008E0838"/>
    <w:rsid w:val="00901582"/>
    <w:rsid w:val="00913519"/>
    <w:rsid w:val="00920F90"/>
    <w:rsid w:val="009343DC"/>
    <w:rsid w:val="00946F4F"/>
    <w:rsid w:val="00952BB6"/>
    <w:rsid w:val="009548EA"/>
    <w:rsid w:val="00971149"/>
    <w:rsid w:val="009868F8"/>
    <w:rsid w:val="009C0087"/>
    <w:rsid w:val="00A15B99"/>
    <w:rsid w:val="00A200AA"/>
    <w:rsid w:val="00A4300E"/>
    <w:rsid w:val="00AA6394"/>
    <w:rsid w:val="00AD36D2"/>
    <w:rsid w:val="00AE0EFD"/>
    <w:rsid w:val="00AE1048"/>
    <w:rsid w:val="00B15B22"/>
    <w:rsid w:val="00B22548"/>
    <w:rsid w:val="00B326A4"/>
    <w:rsid w:val="00B67465"/>
    <w:rsid w:val="00BA26BC"/>
    <w:rsid w:val="00BD22D5"/>
    <w:rsid w:val="00BD54C6"/>
    <w:rsid w:val="00C043A6"/>
    <w:rsid w:val="00C519B7"/>
    <w:rsid w:val="00C51EF5"/>
    <w:rsid w:val="00C536BE"/>
    <w:rsid w:val="00C66180"/>
    <w:rsid w:val="00C67743"/>
    <w:rsid w:val="00CC4823"/>
    <w:rsid w:val="00D05542"/>
    <w:rsid w:val="00D46445"/>
    <w:rsid w:val="00D668B8"/>
    <w:rsid w:val="00DB72B8"/>
    <w:rsid w:val="00DE4F7E"/>
    <w:rsid w:val="00E12982"/>
    <w:rsid w:val="00E24152"/>
    <w:rsid w:val="00E30883"/>
    <w:rsid w:val="00E37C22"/>
    <w:rsid w:val="00E531F6"/>
    <w:rsid w:val="00E56DC5"/>
    <w:rsid w:val="00F03627"/>
    <w:rsid w:val="00F2456E"/>
    <w:rsid w:val="00F67565"/>
    <w:rsid w:val="00F73430"/>
    <w:rsid w:val="00F96EFC"/>
    <w:rsid w:val="00FC34C6"/>
    <w:rsid w:val="00FD6082"/>
    <w:rsid w:val="00FE3820"/>
    <w:rsid w:val="00FF6231"/>
    <w:rsid w:val="00FF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B562"/>
  <w15:chartTrackingRefBased/>
  <w15:docId w15:val="{08701599-0CE0-49C4-B72D-8E7951F6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35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23579"/>
  </w:style>
  <w:style w:type="character" w:customStyle="1" w:styleId="eop">
    <w:name w:val="eop"/>
    <w:basedOn w:val="DefaultParagraphFont"/>
    <w:rsid w:val="0082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2267">
      <w:bodyDiv w:val="1"/>
      <w:marLeft w:val="0"/>
      <w:marRight w:val="0"/>
      <w:marTop w:val="0"/>
      <w:marBottom w:val="0"/>
      <w:divBdr>
        <w:top w:val="none" w:sz="0" w:space="0" w:color="auto"/>
        <w:left w:val="none" w:sz="0" w:space="0" w:color="auto"/>
        <w:bottom w:val="none" w:sz="0" w:space="0" w:color="auto"/>
        <w:right w:val="none" w:sz="0" w:space="0" w:color="auto"/>
      </w:divBdr>
      <w:divsChild>
        <w:div w:id="1667710145">
          <w:marLeft w:val="0"/>
          <w:marRight w:val="0"/>
          <w:marTop w:val="0"/>
          <w:marBottom w:val="0"/>
          <w:divBdr>
            <w:top w:val="none" w:sz="0" w:space="0" w:color="auto"/>
            <w:left w:val="none" w:sz="0" w:space="0" w:color="auto"/>
            <w:bottom w:val="none" w:sz="0" w:space="0" w:color="auto"/>
            <w:right w:val="none" w:sz="0" w:space="0" w:color="auto"/>
          </w:divBdr>
        </w:div>
        <w:div w:id="1273242343">
          <w:marLeft w:val="0"/>
          <w:marRight w:val="0"/>
          <w:marTop w:val="0"/>
          <w:marBottom w:val="0"/>
          <w:divBdr>
            <w:top w:val="none" w:sz="0" w:space="0" w:color="auto"/>
            <w:left w:val="none" w:sz="0" w:space="0" w:color="auto"/>
            <w:bottom w:val="none" w:sz="0" w:space="0" w:color="auto"/>
            <w:right w:val="none" w:sz="0" w:space="0" w:color="auto"/>
          </w:divBdr>
        </w:div>
        <w:div w:id="449131760">
          <w:marLeft w:val="0"/>
          <w:marRight w:val="0"/>
          <w:marTop w:val="0"/>
          <w:marBottom w:val="0"/>
          <w:divBdr>
            <w:top w:val="none" w:sz="0" w:space="0" w:color="auto"/>
            <w:left w:val="none" w:sz="0" w:space="0" w:color="auto"/>
            <w:bottom w:val="none" w:sz="0" w:space="0" w:color="auto"/>
            <w:right w:val="none" w:sz="0" w:space="0" w:color="auto"/>
          </w:divBdr>
        </w:div>
        <w:div w:id="44374999">
          <w:marLeft w:val="0"/>
          <w:marRight w:val="0"/>
          <w:marTop w:val="0"/>
          <w:marBottom w:val="0"/>
          <w:divBdr>
            <w:top w:val="none" w:sz="0" w:space="0" w:color="auto"/>
            <w:left w:val="none" w:sz="0" w:space="0" w:color="auto"/>
            <w:bottom w:val="none" w:sz="0" w:space="0" w:color="auto"/>
            <w:right w:val="none" w:sz="0" w:space="0" w:color="auto"/>
          </w:divBdr>
        </w:div>
      </w:divsChild>
    </w:div>
    <w:div w:id="238177112">
      <w:bodyDiv w:val="1"/>
      <w:marLeft w:val="0"/>
      <w:marRight w:val="0"/>
      <w:marTop w:val="0"/>
      <w:marBottom w:val="0"/>
      <w:divBdr>
        <w:top w:val="none" w:sz="0" w:space="0" w:color="auto"/>
        <w:left w:val="none" w:sz="0" w:space="0" w:color="auto"/>
        <w:bottom w:val="none" w:sz="0" w:space="0" w:color="auto"/>
        <w:right w:val="none" w:sz="0" w:space="0" w:color="auto"/>
      </w:divBdr>
    </w:div>
    <w:div w:id="939679365">
      <w:bodyDiv w:val="1"/>
      <w:marLeft w:val="0"/>
      <w:marRight w:val="0"/>
      <w:marTop w:val="0"/>
      <w:marBottom w:val="0"/>
      <w:divBdr>
        <w:top w:val="none" w:sz="0" w:space="0" w:color="auto"/>
        <w:left w:val="none" w:sz="0" w:space="0" w:color="auto"/>
        <w:bottom w:val="none" w:sz="0" w:space="0" w:color="auto"/>
        <w:right w:val="none" w:sz="0" w:space="0" w:color="auto"/>
      </w:divBdr>
    </w:div>
    <w:div w:id="1648435768">
      <w:bodyDiv w:val="1"/>
      <w:marLeft w:val="0"/>
      <w:marRight w:val="0"/>
      <w:marTop w:val="0"/>
      <w:marBottom w:val="0"/>
      <w:divBdr>
        <w:top w:val="none" w:sz="0" w:space="0" w:color="auto"/>
        <w:left w:val="none" w:sz="0" w:space="0" w:color="auto"/>
        <w:bottom w:val="none" w:sz="0" w:space="0" w:color="auto"/>
        <w:right w:val="none" w:sz="0" w:space="0" w:color="auto"/>
      </w:divBdr>
      <w:divsChild>
        <w:div w:id="766317713">
          <w:marLeft w:val="0"/>
          <w:marRight w:val="0"/>
          <w:marTop w:val="0"/>
          <w:marBottom w:val="0"/>
          <w:divBdr>
            <w:top w:val="none" w:sz="0" w:space="0" w:color="auto"/>
            <w:left w:val="none" w:sz="0" w:space="0" w:color="auto"/>
            <w:bottom w:val="none" w:sz="0" w:space="0" w:color="auto"/>
            <w:right w:val="none" w:sz="0" w:space="0" w:color="auto"/>
          </w:divBdr>
        </w:div>
        <w:div w:id="1662124669">
          <w:marLeft w:val="0"/>
          <w:marRight w:val="0"/>
          <w:marTop w:val="0"/>
          <w:marBottom w:val="0"/>
          <w:divBdr>
            <w:top w:val="none" w:sz="0" w:space="0" w:color="auto"/>
            <w:left w:val="none" w:sz="0" w:space="0" w:color="auto"/>
            <w:bottom w:val="none" w:sz="0" w:space="0" w:color="auto"/>
            <w:right w:val="none" w:sz="0" w:space="0" w:color="auto"/>
          </w:divBdr>
        </w:div>
        <w:div w:id="210779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00D4-249D-4714-A415-D5D4A27B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Brandon</dc:creator>
  <cp:keywords/>
  <dc:description/>
  <cp:lastModifiedBy>Bradley, Brandon</cp:lastModifiedBy>
  <cp:revision>87</cp:revision>
  <cp:lastPrinted>2024-09-06T16:06:00Z</cp:lastPrinted>
  <dcterms:created xsi:type="dcterms:W3CDTF">2024-02-02T06:14:00Z</dcterms:created>
  <dcterms:modified xsi:type="dcterms:W3CDTF">2024-09-09T14:43:00Z</dcterms:modified>
</cp:coreProperties>
</file>